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3704"/>
      </w:tblGrid>
      <w:tr w:rsidR="008604B0" w:rsidRPr="005A21CF" w:rsidTr="008604B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604B0" w:rsidRPr="005A21CF" w:rsidRDefault="008604B0" w:rsidP="005051DF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8604B0" w:rsidRPr="005A21CF" w:rsidRDefault="008604B0" w:rsidP="005051DF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ала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8604B0" w:rsidRPr="005A21CF" w:rsidRDefault="008604B0" w:rsidP="005051D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Хакими</w:t>
            </w:r>
            <w:r w:rsidRPr="005A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</w:t>
            </w: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8604B0" w:rsidRPr="005A21CF" w:rsidRDefault="008604B0" w:rsidP="0050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604B0" w:rsidRPr="005A21CF" w:rsidRDefault="008604B0" w:rsidP="005051DF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4" o:title=""/>
                </v:shape>
                <o:OLEObject Type="Embed" ProgID="Photoshop.Image.9" ShapeID="_x0000_i1025" DrawAspect="Content" ObjectID="_1788262753" r:id="rId5"/>
              </w:object>
            </w:r>
          </w:p>
        </w:tc>
        <w:tc>
          <w:tcPr>
            <w:tcW w:w="37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604B0" w:rsidRPr="005A21CF" w:rsidRDefault="008604B0" w:rsidP="005051DF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604B0" w:rsidRPr="005A21CF" w:rsidRDefault="008604B0" w:rsidP="005051DF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8604B0" w:rsidRPr="005A21CF" w:rsidRDefault="008604B0" w:rsidP="005051DF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8604B0" w:rsidRPr="005A21CF" w:rsidRDefault="008604B0" w:rsidP="005051DF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8604B0" w:rsidRPr="005A21CF" w:rsidRDefault="008604B0" w:rsidP="0050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8604B0" w:rsidRPr="005A21CF" w:rsidRDefault="008604B0" w:rsidP="008604B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8604B0" w:rsidRPr="005A21CF" w:rsidTr="005051DF">
        <w:trPr>
          <w:trHeight w:val="1616"/>
        </w:trPr>
        <w:tc>
          <w:tcPr>
            <w:tcW w:w="4209" w:type="dxa"/>
          </w:tcPr>
          <w:p w:rsidR="008604B0" w:rsidRPr="005A21CF" w:rsidRDefault="008604B0" w:rsidP="005051DF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30"/>
                <w:szCs w:val="30"/>
                <w:lang w:eastAsia="ru-RU"/>
              </w:rPr>
              <w:t>K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8604B0" w:rsidRPr="005A21CF" w:rsidRDefault="008604B0" w:rsidP="005051DF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________________</w:t>
            </w:r>
            <w:r w:rsidRPr="005A21CF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20___ й</w:t>
            </w: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8" w:type="dxa"/>
          </w:tcPr>
          <w:p w:rsidR="008604B0" w:rsidRPr="005A21CF" w:rsidRDefault="008604B0" w:rsidP="005051DF">
            <w:pPr>
              <w:spacing w:after="480" w:line="240" w:lineRule="auto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</w:p>
          <w:p w:rsidR="008604B0" w:rsidRPr="005A21CF" w:rsidRDefault="008604B0" w:rsidP="005051DF">
            <w:pPr>
              <w:spacing w:after="480" w:line="240" w:lineRule="auto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№________</w:t>
            </w:r>
          </w:p>
        </w:tc>
        <w:tc>
          <w:tcPr>
            <w:tcW w:w="4209" w:type="dxa"/>
          </w:tcPr>
          <w:p w:rsidR="008604B0" w:rsidRPr="005A21CF" w:rsidRDefault="008604B0" w:rsidP="005051DF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5A21CF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8604B0" w:rsidRPr="005A21CF" w:rsidRDefault="008604B0" w:rsidP="005051DF">
            <w:pPr>
              <w:spacing w:after="480" w:line="240" w:lineRule="auto"/>
              <w:jc w:val="center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5A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________________20</w:t>
            </w:r>
            <w:r w:rsidRPr="005A21CF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___ г.</w:t>
            </w:r>
          </w:p>
        </w:tc>
      </w:tr>
    </w:tbl>
    <w:p w:rsidR="008604B0" w:rsidRPr="005A21CF" w:rsidRDefault="008604B0" w:rsidP="00860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B0" w:rsidRPr="008604B0" w:rsidRDefault="008604B0" w:rsidP="008604B0">
      <w:pPr>
        <w:widowControl w:val="0"/>
        <w:autoSpaceDE w:val="0"/>
        <w:autoSpaceDN w:val="0"/>
        <w:spacing w:after="0" w:line="240" w:lineRule="auto"/>
        <w:ind w:right="71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445501"/>
      <w:r w:rsidRPr="008604B0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</w:t>
      </w:r>
    </w:p>
    <w:p w:rsidR="008604B0" w:rsidRPr="008604B0" w:rsidRDefault="008604B0" w:rsidP="0086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5A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муниципального имущества» в городском округе город Стерлитамак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городского округа город Стерлитамак Республики </w:t>
      </w:r>
      <w:r w:rsidR="00F92DCB" w:rsidRPr="00860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29.12.2023</w:t>
      </w:r>
      <w:r w:rsidRPr="0086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3713</w:t>
      </w:r>
      <w:r w:rsidRPr="00860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8604B0" w:rsidRPr="005A21CF" w:rsidRDefault="008604B0" w:rsidP="0086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DCB" w:rsidRPr="00F92DCB" w:rsidRDefault="00B538B3" w:rsidP="00B53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 №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</w:t>
      </w:r>
      <w:r w:rsidRPr="00B5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B5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услуг»,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538B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B5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B5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от 22.04.2016 № 153 «Об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типового (рекомендованного) перечня муниципальных услуг,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F92DCB" w:rsidRPr="00F92D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Башкортостан»</w:t>
      </w:r>
      <w:r w:rsidR="00D23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" w:name="_GoBack"/>
      <w:bookmarkEnd w:id="1"/>
      <w:r w:rsidR="00F92DCB" w:rsidRPr="00F92DC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F92DCB" w:rsidRPr="00F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9085A" w:rsidRPr="005A21CF" w:rsidRDefault="00F92DCB" w:rsidP="00F9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85A" w:rsidRDefault="00DD711B" w:rsidP="00B9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9085A" w:rsidRPr="00B9085A">
        <w:rPr>
          <w:rFonts w:ascii="Times New Roman" w:eastAsia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</w:t>
      </w:r>
      <w:r w:rsidR="00F92DCB" w:rsidRPr="00B9085A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F92DCB" w:rsidRPr="00B9085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9085A" w:rsidRPr="00B908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из реестра муниципального имущества» в городском округе город Стерлитамак Республики Башкортостан, утвержденный постановлением администрации городского округа город Стерлитамак Республики </w:t>
      </w:r>
      <w:r w:rsidR="00F92DCB" w:rsidRPr="00B9085A">
        <w:rPr>
          <w:rFonts w:ascii="Times New Roman" w:eastAsia="Times New Roman" w:hAnsi="Times New Roman" w:cs="Times New Roman"/>
          <w:bCs/>
          <w:sz w:val="28"/>
          <w:szCs w:val="28"/>
        </w:rPr>
        <w:t>Башкортостан от</w:t>
      </w:r>
      <w:r w:rsidR="00B9085A" w:rsidRPr="00B9085A">
        <w:rPr>
          <w:rFonts w:ascii="Times New Roman" w:eastAsia="Times New Roman" w:hAnsi="Times New Roman" w:cs="Times New Roman"/>
          <w:bCs/>
          <w:sz w:val="28"/>
          <w:szCs w:val="28"/>
        </w:rPr>
        <w:t xml:space="preserve"> 29.12.2023 №3713»</w:t>
      </w:r>
      <w:r w:rsidR="00B908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085A" w:rsidRPr="00B9085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9085A" w:rsidRPr="00B9085A" w:rsidRDefault="00F92DCB" w:rsidP="00B9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9085A"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пункта 2.21. </w:t>
      </w:r>
      <w:r w:rsidR="00B9085A" w:rsidRPr="00B9085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  <w:r w:rsidR="00B90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2DCB" w:rsidRPr="00F92DCB" w:rsidRDefault="00F92DCB" w:rsidP="00F9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92DCB">
        <w:rPr>
          <w:rFonts w:ascii="Times New Roman" w:eastAsia="Calibri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92DCB">
        <w:rPr>
          <w:rFonts w:ascii="Times New Roman" w:eastAsia="Calibri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92DCB">
        <w:rPr>
          <w:rFonts w:ascii="Times New Roman" w:eastAsia="Calibri" w:hAnsi="Times New Roman" w:cs="Times New Roman"/>
          <w:sz w:val="28"/>
          <w:szCs w:val="28"/>
        </w:rPr>
        <w:t xml:space="preserve">. Места для парковки, указанные в настоящем абзаце, не должны занимать иные </w:t>
      </w:r>
      <w:r w:rsidRPr="00F92DCB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транспортные средства, за исключением случаев, предусмотренных правилами дорожного движения.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711B" w:rsidRPr="009E2E9B" w:rsidRDefault="00DD711B" w:rsidP="00DD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официальном сайте администрации городского округа город Стерлитамак Республики Башкортостан в сети Интернет.</w:t>
      </w:r>
    </w:p>
    <w:p w:rsidR="00DD711B" w:rsidRPr="009E2E9B" w:rsidRDefault="00DD711B" w:rsidP="00DD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Муниципальному казенному учреждению «Городская казна» </w:t>
      </w:r>
      <w:bookmarkStart w:id="2" w:name="_Hlk124178755"/>
      <w:r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Стерлитамак Республики Башкортостан разместить </w:t>
      </w:r>
      <w:bookmarkEnd w:id="2"/>
      <w:r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принятии настоящего постановления и месте его обнародования в газете «Стерлитамакский рабочий».</w:t>
      </w:r>
    </w:p>
    <w:p w:rsidR="00DD711B" w:rsidRPr="009E2E9B" w:rsidRDefault="00DD711B" w:rsidP="00DD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Отделу пресс-службы администрации городского округа город Стерлитамак Республики Башкортостан разместить настоящее постановление на официальном сайте администрации городского округа город Стерлитамак Республики Башкортостан в сети Интернет.</w:t>
      </w:r>
    </w:p>
    <w:p w:rsidR="00DD711B" w:rsidRPr="009E2E9B" w:rsidRDefault="00DD711B" w:rsidP="00DD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 по правовым и имущественным вопросам.</w:t>
      </w:r>
    </w:p>
    <w:p w:rsidR="00DD711B" w:rsidRPr="009E2E9B" w:rsidRDefault="00DD711B" w:rsidP="00DD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1B" w:rsidRPr="009E2E9B" w:rsidRDefault="00DD711B" w:rsidP="00DD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1B" w:rsidRPr="009E2E9B" w:rsidRDefault="00B538B3" w:rsidP="00B53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Pr="00B53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DD711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711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711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711B" w:rsidRPr="009E2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Э.В.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Шаймарданов</w:t>
      </w:r>
      <w:proofErr w:type="spellEnd"/>
    </w:p>
    <w:p w:rsidR="008604B0" w:rsidRDefault="008604B0"/>
    <w:sectPr w:rsidR="008604B0" w:rsidSect="00B90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B0"/>
    <w:rsid w:val="008604B0"/>
    <w:rsid w:val="00AD1B02"/>
    <w:rsid w:val="00B538B3"/>
    <w:rsid w:val="00B9085A"/>
    <w:rsid w:val="00D23FC5"/>
    <w:rsid w:val="00DD711B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BC95"/>
  <w15:chartTrackingRefBased/>
  <w15:docId w15:val="{B9507956-0BC8-4323-B5DA-16A70B8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4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юрисконсульт казны</dc:creator>
  <cp:keywords/>
  <dc:description/>
  <cp:lastModifiedBy>Главный юрисконсульт казны</cp:lastModifiedBy>
  <cp:revision>2</cp:revision>
  <cp:lastPrinted>2024-09-18T10:48:00Z</cp:lastPrinted>
  <dcterms:created xsi:type="dcterms:W3CDTF">2024-09-18T09:24:00Z</dcterms:created>
  <dcterms:modified xsi:type="dcterms:W3CDTF">2024-09-19T09:53:00Z</dcterms:modified>
</cp:coreProperties>
</file>