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"О любительском рыболовстве и о внесении изменений в отдельные законодательные акты Российской Федерации"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BC6F3B">
        <w:rPr>
          <w:rFonts w:ascii="Arial" w:hAnsi="Arial" w:cs="Arial"/>
          <w:color w:val="333333"/>
          <w:sz w:val="21"/>
          <w:szCs w:val="21"/>
        </w:rPr>
        <w:t>Федеральный закон от 25.12.2018 N 475-ФЗ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закреплено право граждан России свободно и бесплатно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ловить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рыбу на водных объектах общего пользования.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Действие Закона распространяется на внутренние воды Российской Федерации,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Граждане, которые осуществляют любительское рыболовство, приобретают право собственности на выловленные водные биоресурсы в соответствии с гражданским законодательством.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Любительское рыболовство запрещается осуществлять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</w:t>
      </w:r>
      <w:proofErr w:type="gram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используемых для прудовой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аквакультуры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иных водных объектах, предоставленных для осуществления товарной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аквакультуры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аквакультуры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Законом устанавливаются следующие ограничения любительского рыболовства: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расположенных в районах Севера, Сибири и Дальнего Востока, в целях личного потребления;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запрет на осуществление любительского рыболовства с использованием взрывчатых и химических веществ, а также электротока;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запрет на осуществление любительского рыболовства с применением сетных орудий добычи (вылова) водных биоресурсов;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запрет на осуществление любительского рыболовства способом подводной добычи водных биоресурсов (подводной охоты):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а) в местах массового отдыха граждан;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б) с использованием индивидуальных электронных средств обнаружения водных биоресурсов под водой;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в) с использованием аквалангов и других автономных дыхательных аппаратов;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суточная норма добычи (вылова) водных биоресурсов, то есть разрешенный гражданину для добычи (вылова) в течение суток объем (количество, вес) водных биоресурсов, не относящихся к видам (подвидам и популяциям), занесенным в Красную книгу Российской Федерации.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Согласно Закону, договоры о предоставлении рыбопромыслового участка для организации любительского и спортивного рыболовства и (или) договоры пользования рыболовным </w:t>
      </w:r>
      <w:r>
        <w:rPr>
          <w:rFonts w:ascii="Arial" w:hAnsi="Arial" w:cs="Arial"/>
          <w:color w:val="333333"/>
          <w:sz w:val="21"/>
          <w:szCs w:val="21"/>
        </w:rPr>
        <w:lastRenderedPageBreak/>
        <w:t>участком для организации любительского рыболовства, которые заключены до дня вступления его в силу и срок действия которых не истек, действуют до 31 декабря 2020 года.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Любительское рыболовство на указанных рыбопромысловых и (или) рыболовных участках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BC6F3B" w:rsidRDefault="00BC6F3B" w:rsidP="00BC6F3B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Настоящий Федеральный закон вступает в силу с 1 января 2020 года, за исключением отдельных положений, вступающих в силу с 1 января 2019 года.             </w:t>
      </w:r>
    </w:p>
    <w:p w:rsidR="00721923" w:rsidRDefault="00721923"/>
    <w:sectPr w:rsidR="0072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6"/>
    <w:rsid w:val="00721923"/>
    <w:rsid w:val="00875DF6"/>
    <w:rsid w:val="00B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2019-06-23T10:05:00Z</dcterms:created>
  <dcterms:modified xsi:type="dcterms:W3CDTF">2019-06-23T10:06:00Z</dcterms:modified>
</cp:coreProperties>
</file>