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A17" w:rsidRPr="00EA7C13" w:rsidRDefault="002E5A17" w:rsidP="002E5A17">
      <w:pPr>
        <w:shd w:val="clear" w:color="auto" w:fill="FFFFFF"/>
        <w:spacing w:before="120" w:after="120" w:line="240" w:lineRule="auto"/>
        <w:ind w:right="-2"/>
        <w:jc w:val="both"/>
        <w:textAlignment w:val="top"/>
        <w:rPr>
          <w:rFonts w:ascii="Times New Roman" w:eastAsia="Times New Roman" w:hAnsi="Times New Roman" w:cs="Times New Roman"/>
          <w:b/>
          <w:color w:val="000000"/>
          <w:sz w:val="28"/>
          <w:szCs w:val="28"/>
          <w:lang w:eastAsia="ru-RU"/>
        </w:rPr>
      </w:pPr>
      <w:r w:rsidRPr="00EA7C13">
        <w:rPr>
          <w:rFonts w:ascii="Times New Roman" w:eastAsia="Times New Roman" w:hAnsi="Times New Roman" w:cs="Times New Roman"/>
          <w:b/>
          <w:color w:val="000000"/>
          <w:sz w:val="28"/>
          <w:szCs w:val="28"/>
          <w:lang w:eastAsia="ru-RU"/>
        </w:rPr>
        <w:t>Изменился порядок исчисления и внесения платы за негативное воздействие на окружающую среду</w:t>
      </w:r>
    </w:p>
    <w:p w:rsidR="002E5A17" w:rsidRPr="002E5A17" w:rsidRDefault="002E5A17" w:rsidP="002E5A17">
      <w:pPr>
        <w:shd w:val="clear" w:color="auto" w:fill="FFFFFF"/>
        <w:spacing w:before="120" w:after="120" w:line="240" w:lineRule="auto"/>
        <w:ind w:right="-2"/>
        <w:jc w:val="both"/>
        <w:textAlignment w:val="top"/>
        <w:rPr>
          <w:rFonts w:ascii="Times New Roman" w:eastAsia="Times New Roman" w:hAnsi="Times New Roman" w:cs="Times New Roman"/>
          <w:color w:val="000000"/>
          <w:sz w:val="28"/>
          <w:szCs w:val="28"/>
          <w:lang w:eastAsia="ru-RU"/>
        </w:rPr>
      </w:pPr>
    </w:p>
    <w:p w:rsidR="002E5A17" w:rsidRPr="002E5A17" w:rsidRDefault="002E5A17" w:rsidP="002E5A17">
      <w:pPr>
        <w:shd w:val="clear" w:color="auto" w:fill="FFFFFF"/>
        <w:spacing w:before="120" w:after="120" w:line="240" w:lineRule="auto"/>
        <w:ind w:right="-2"/>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Pr="002E5A1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Февраля</w:t>
      </w:r>
      <w:r w:rsidRPr="002E5A17">
        <w:rPr>
          <w:rFonts w:ascii="Times New Roman" w:eastAsia="Times New Roman" w:hAnsi="Times New Roman" w:cs="Times New Roman"/>
          <w:color w:val="000000"/>
          <w:sz w:val="28"/>
          <w:szCs w:val="28"/>
          <w:lang w:eastAsia="ru-RU"/>
        </w:rPr>
        <w:t xml:space="preserve"> 2016</w:t>
      </w:r>
      <w:r w:rsidR="00EA7C13">
        <w:rPr>
          <w:rFonts w:ascii="Times New Roman" w:eastAsia="Times New Roman" w:hAnsi="Times New Roman" w:cs="Times New Roman"/>
          <w:color w:val="000000"/>
          <w:sz w:val="28"/>
          <w:szCs w:val="28"/>
          <w:lang w:eastAsia="ru-RU"/>
        </w:rPr>
        <w:t>г.</w:t>
      </w:r>
    </w:p>
    <w:p w:rsidR="002E5A17" w:rsidRPr="002E5A17" w:rsidRDefault="002E5A17" w:rsidP="002E5A17">
      <w:pPr>
        <w:shd w:val="clear" w:color="auto" w:fill="FFFFFF"/>
        <w:spacing w:before="120" w:after="120" w:line="240" w:lineRule="auto"/>
        <w:ind w:right="-2"/>
        <w:jc w:val="both"/>
        <w:textAlignment w:val="top"/>
        <w:rPr>
          <w:rFonts w:ascii="Times New Roman" w:eastAsia="Times New Roman" w:hAnsi="Times New Roman" w:cs="Times New Roman"/>
          <w:color w:val="000000"/>
          <w:sz w:val="28"/>
          <w:szCs w:val="28"/>
          <w:lang w:eastAsia="ru-RU"/>
        </w:rPr>
      </w:pPr>
      <w:r w:rsidRPr="002E5A17">
        <w:rPr>
          <w:rFonts w:ascii="Times New Roman" w:eastAsia="Times New Roman" w:hAnsi="Times New Roman" w:cs="Times New Roman"/>
          <w:color w:val="000000"/>
          <w:sz w:val="28"/>
          <w:szCs w:val="28"/>
          <w:lang w:eastAsia="ru-RU"/>
        </w:rPr>
        <w:t>С 1 января 2016 года вступили в силу отдельные положения Федерального закона от 21.07.2014 №219-ФЗ «О внесении изменений в Федеральный закон «Об охране окружающей среды» и отдельные законодательные акты Российской Федерации», которыми существенно изменен порядок исчисления и внесения платы за негативное воздействие на окружающую среду.</w:t>
      </w:r>
    </w:p>
    <w:p w:rsidR="002E5A17" w:rsidRPr="002E5A17" w:rsidRDefault="002E5A17" w:rsidP="002E5A17">
      <w:pPr>
        <w:shd w:val="clear" w:color="auto" w:fill="FFFFFF"/>
        <w:spacing w:before="120" w:after="120" w:line="240" w:lineRule="auto"/>
        <w:ind w:right="-2"/>
        <w:jc w:val="both"/>
        <w:textAlignment w:val="top"/>
        <w:rPr>
          <w:rFonts w:ascii="Times New Roman" w:eastAsia="Times New Roman" w:hAnsi="Times New Roman" w:cs="Times New Roman"/>
          <w:color w:val="000000"/>
          <w:sz w:val="28"/>
          <w:szCs w:val="28"/>
          <w:lang w:eastAsia="ru-RU"/>
        </w:rPr>
      </w:pPr>
      <w:r w:rsidRPr="002E5A17">
        <w:rPr>
          <w:rFonts w:ascii="Times New Roman" w:eastAsia="Times New Roman" w:hAnsi="Times New Roman" w:cs="Times New Roman"/>
          <w:color w:val="000000"/>
          <w:sz w:val="28"/>
          <w:szCs w:val="28"/>
          <w:lang w:eastAsia="ru-RU"/>
        </w:rPr>
        <w:t>К видам негативного воздействия на окружающую среду, за которые взимается плата, отнесены выбросы загрязняющих веществ в атмосферный воздух стационарными источниками, сбросы загрязняющих веществ в составе сточных вод в водные объекты, размещение отходов производства и потребления.</w:t>
      </w:r>
    </w:p>
    <w:p w:rsidR="002E5A17" w:rsidRPr="002E5A17" w:rsidRDefault="002E5A17" w:rsidP="002E5A17">
      <w:pPr>
        <w:shd w:val="clear" w:color="auto" w:fill="FFFFFF"/>
        <w:spacing w:before="120" w:after="120" w:line="240" w:lineRule="auto"/>
        <w:ind w:right="-2"/>
        <w:jc w:val="both"/>
        <w:textAlignment w:val="top"/>
        <w:rPr>
          <w:rFonts w:ascii="Times New Roman" w:eastAsia="Times New Roman" w:hAnsi="Times New Roman" w:cs="Times New Roman"/>
          <w:color w:val="000000"/>
          <w:sz w:val="28"/>
          <w:szCs w:val="28"/>
          <w:lang w:eastAsia="ru-RU"/>
        </w:rPr>
      </w:pPr>
      <w:r w:rsidRPr="002E5A17">
        <w:rPr>
          <w:rFonts w:ascii="Times New Roman" w:eastAsia="Times New Roman" w:hAnsi="Times New Roman" w:cs="Times New Roman"/>
          <w:color w:val="000000"/>
          <w:sz w:val="28"/>
          <w:szCs w:val="28"/>
          <w:lang w:eastAsia="ru-RU"/>
        </w:rPr>
        <w:t>Изменения предусматривают, что в случае накопления отходов, подлежащих утилизации или обезвреживанию в течение одиннадцати месяцев со дня образования этих отходов, плата за их размещение не взимается.</w:t>
      </w:r>
    </w:p>
    <w:p w:rsidR="002E5A17" w:rsidRPr="002E5A17" w:rsidRDefault="002E5A17" w:rsidP="002E5A17">
      <w:pPr>
        <w:shd w:val="clear" w:color="auto" w:fill="FFFFFF"/>
        <w:spacing w:before="120" w:after="120" w:line="240" w:lineRule="auto"/>
        <w:ind w:right="-2"/>
        <w:jc w:val="both"/>
        <w:textAlignment w:val="top"/>
        <w:rPr>
          <w:rFonts w:ascii="Times New Roman" w:eastAsia="Times New Roman" w:hAnsi="Times New Roman" w:cs="Times New Roman"/>
          <w:color w:val="000000"/>
          <w:sz w:val="28"/>
          <w:szCs w:val="28"/>
          <w:lang w:eastAsia="ru-RU"/>
        </w:rPr>
      </w:pPr>
      <w:r w:rsidRPr="002E5A17">
        <w:rPr>
          <w:rFonts w:ascii="Times New Roman" w:eastAsia="Times New Roman" w:hAnsi="Times New Roman" w:cs="Times New Roman"/>
          <w:color w:val="000000"/>
          <w:sz w:val="28"/>
          <w:szCs w:val="28"/>
          <w:lang w:eastAsia="ru-RU"/>
        </w:rPr>
        <w:t>От внесения платежей теперь освобождены юридические лица и индивидуальные предприниматели, осуществляющие деятельность на объектах, оказывающих минимальное негативное воздействие на окружающую среду (объекты IV категории).</w:t>
      </w:r>
    </w:p>
    <w:p w:rsidR="002E5A17" w:rsidRPr="002E5A17" w:rsidRDefault="002E5A17" w:rsidP="002E5A17">
      <w:pPr>
        <w:shd w:val="clear" w:color="auto" w:fill="FFFFFF"/>
        <w:spacing w:before="120" w:after="120" w:line="240" w:lineRule="auto"/>
        <w:ind w:right="-2"/>
        <w:jc w:val="both"/>
        <w:textAlignment w:val="top"/>
        <w:rPr>
          <w:rFonts w:ascii="Times New Roman" w:eastAsia="Times New Roman" w:hAnsi="Times New Roman" w:cs="Times New Roman"/>
          <w:color w:val="000000"/>
          <w:sz w:val="28"/>
          <w:szCs w:val="28"/>
          <w:lang w:eastAsia="ru-RU"/>
        </w:rPr>
      </w:pPr>
      <w:r w:rsidRPr="002E5A17">
        <w:rPr>
          <w:rFonts w:ascii="Times New Roman" w:eastAsia="Times New Roman" w:hAnsi="Times New Roman" w:cs="Times New Roman"/>
          <w:color w:val="000000"/>
          <w:sz w:val="28"/>
          <w:szCs w:val="28"/>
          <w:lang w:eastAsia="ru-RU"/>
        </w:rPr>
        <w:t>Как и ранее, плата за негативное воздействие на окружающую среду исчисляется хозяйствующими субъектами самостоятельно. При этом законом прямо предусмотрен порядок определения платежей.</w:t>
      </w:r>
    </w:p>
    <w:p w:rsidR="002E5A17" w:rsidRPr="002E5A17" w:rsidRDefault="002E5A17" w:rsidP="002E5A17">
      <w:pPr>
        <w:shd w:val="clear" w:color="auto" w:fill="FFFFFF"/>
        <w:spacing w:before="120" w:after="120" w:line="240" w:lineRule="auto"/>
        <w:ind w:right="-2"/>
        <w:jc w:val="both"/>
        <w:textAlignment w:val="top"/>
        <w:rPr>
          <w:rFonts w:ascii="Times New Roman" w:eastAsia="Times New Roman" w:hAnsi="Times New Roman" w:cs="Times New Roman"/>
          <w:color w:val="000000"/>
          <w:sz w:val="28"/>
          <w:szCs w:val="28"/>
          <w:lang w:eastAsia="ru-RU"/>
        </w:rPr>
      </w:pPr>
      <w:r w:rsidRPr="002E5A17">
        <w:rPr>
          <w:rFonts w:ascii="Times New Roman" w:eastAsia="Times New Roman" w:hAnsi="Times New Roman" w:cs="Times New Roman"/>
          <w:color w:val="000000"/>
          <w:sz w:val="28"/>
          <w:szCs w:val="28"/>
          <w:lang w:eastAsia="ru-RU"/>
        </w:rPr>
        <w:t>Вначале исчисляется платежная база, которая включает в себя объём или массу размещённых в отчётном периоде отходов производства и потребления, выбросов или сбросов загрязняющих веществ. Данные сведения определяются на основе данных производственного экологического контроля в пределах нормативов допустимых (временно разрешенных) выбросов (сбросов), с учётом лимитов на размещение отходов производства и потребления и их превышения.</w:t>
      </w:r>
    </w:p>
    <w:p w:rsidR="002E5A17" w:rsidRPr="002E5A17" w:rsidRDefault="002E5A17" w:rsidP="002E5A17">
      <w:pPr>
        <w:shd w:val="clear" w:color="auto" w:fill="FFFFFF"/>
        <w:spacing w:before="120" w:after="120" w:line="240" w:lineRule="auto"/>
        <w:ind w:right="-2"/>
        <w:jc w:val="both"/>
        <w:textAlignment w:val="top"/>
        <w:rPr>
          <w:rFonts w:ascii="Times New Roman" w:eastAsia="Times New Roman" w:hAnsi="Times New Roman" w:cs="Times New Roman"/>
          <w:color w:val="000000"/>
          <w:sz w:val="28"/>
          <w:szCs w:val="28"/>
          <w:lang w:eastAsia="ru-RU"/>
        </w:rPr>
      </w:pPr>
      <w:r w:rsidRPr="002E5A17">
        <w:rPr>
          <w:rFonts w:ascii="Times New Roman" w:eastAsia="Times New Roman" w:hAnsi="Times New Roman" w:cs="Times New Roman"/>
          <w:color w:val="000000"/>
          <w:sz w:val="28"/>
          <w:szCs w:val="28"/>
          <w:lang w:eastAsia="ru-RU"/>
        </w:rPr>
        <w:t>Затем величина платежной базы умножается на соответствующие ставки указанной платы с применением коэффициентов. Для территорий, подлежащих особой охране, применяются дополнительные коэффициенты.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произведённые хозяйствующими субъектами.</w:t>
      </w:r>
    </w:p>
    <w:p w:rsidR="002E5A17" w:rsidRPr="002E5A17" w:rsidRDefault="002E5A17" w:rsidP="002E5A17">
      <w:pPr>
        <w:shd w:val="clear" w:color="auto" w:fill="FFFFFF"/>
        <w:spacing w:before="120" w:after="120" w:line="240" w:lineRule="auto"/>
        <w:ind w:right="-2"/>
        <w:jc w:val="both"/>
        <w:textAlignment w:val="top"/>
        <w:rPr>
          <w:rFonts w:ascii="Times New Roman" w:eastAsia="Times New Roman" w:hAnsi="Times New Roman" w:cs="Times New Roman"/>
          <w:color w:val="000000"/>
          <w:sz w:val="28"/>
          <w:szCs w:val="28"/>
          <w:lang w:eastAsia="ru-RU"/>
        </w:rPr>
      </w:pPr>
      <w:r w:rsidRPr="002E5A17">
        <w:rPr>
          <w:rFonts w:ascii="Times New Roman" w:eastAsia="Times New Roman" w:hAnsi="Times New Roman" w:cs="Times New Roman"/>
          <w:color w:val="000000"/>
          <w:sz w:val="28"/>
          <w:szCs w:val="28"/>
          <w:lang w:eastAsia="ru-RU"/>
        </w:rPr>
        <w:t xml:space="preserve">Плата за выбросы загрязняющих веществ, сбросы загрязняющих веществ вносится по месту нахождения стационарного источника, а плата за размещение отходов производства и потребления – по месту нахождения объекта размещения отходов производства и потребления. </w:t>
      </w:r>
      <w:r w:rsidRPr="002E5A17">
        <w:rPr>
          <w:rFonts w:ascii="Times New Roman" w:eastAsia="Times New Roman" w:hAnsi="Times New Roman" w:cs="Times New Roman"/>
          <w:color w:val="000000"/>
          <w:sz w:val="28"/>
          <w:szCs w:val="28"/>
          <w:lang w:eastAsia="ru-RU"/>
        </w:rPr>
        <w:cr/>
      </w:r>
    </w:p>
    <w:p w:rsidR="002E5A17" w:rsidRPr="002E5A17" w:rsidRDefault="002E5A17" w:rsidP="002E5A17">
      <w:pPr>
        <w:shd w:val="clear" w:color="auto" w:fill="FFFFFF"/>
        <w:spacing w:before="120" w:after="120" w:line="240" w:lineRule="auto"/>
        <w:ind w:right="-2"/>
        <w:jc w:val="both"/>
        <w:textAlignment w:val="top"/>
        <w:rPr>
          <w:rFonts w:ascii="Times New Roman" w:eastAsia="Times New Roman" w:hAnsi="Times New Roman" w:cs="Times New Roman"/>
          <w:color w:val="000000"/>
          <w:sz w:val="28"/>
          <w:szCs w:val="28"/>
          <w:lang w:eastAsia="ru-RU"/>
        </w:rPr>
      </w:pPr>
      <w:r w:rsidRPr="002E5A17">
        <w:rPr>
          <w:rFonts w:ascii="Times New Roman" w:eastAsia="Times New Roman" w:hAnsi="Times New Roman" w:cs="Times New Roman"/>
          <w:color w:val="000000"/>
          <w:sz w:val="28"/>
          <w:szCs w:val="28"/>
          <w:lang w:eastAsia="ru-RU"/>
        </w:rPr>
        <w:lastRenderedPageBreak/>
        <w:t>Плата за негативное воздействие на окружающую среду вносится один раз в год – не позднее 1 марта года, следующего за отчётным периодом. Кроме того, законодателем предусмотрена подача в этот же срок декларации о плате за негативное воздействие на окружающую среду.</w:t>
      </w:r>
    </w:p>
    <w:p w:rsidR="002E5A17" w:rsidRPr="002E5A17" w:rsidRDefault="002E5A17" w:rsidP="002E5A17">
      <w:pPr>
        <w:shd w:val="clear" w:color="auto" w:fill="FFFFFF"/>
        <w:spacing w:before="120" w:after="120" w:line="240" w:lineRule="auto"/>
        <w:ind w:right="-2"/>
        <w:jc w:val="both"/>
        <w:textAlignment w:val="top"/>
        <w:rPr>
          <w:rFonts w:ascii="Times New Roman" w:eastAsia="Times New Roman" w:hAnsi="Times New Roman" w:cs="Times New Roman"/>
          <w:color w:val="000000"/>
          <w:sz w:val="28"/>
          <w:szCs w:val="28"/>
          <w:lang w:eastAsia="ru-RU"/>
        </w:rPr>
      </w:pPr>
      <w:r w:rsidRPr="002E5A17">
        <w:rPr>
          <w:rFonts w:ascii="Times New Roman" w:eastAsia="Times New Roman" w:hAnsi="Times New Roman" w:cs="Times New Roman"/>
          <w:color w:val="000000"/>
          <w:sz w:val="28"/>
          <w:szCs w:val="28"/>
          <w:lang w:eastAsia="ru-RU"/>
        </w:rPr>
        <w:t>Плата за негативное воздействие на окружающую среду подлежит зачислению в соответствующие бюджеты бюджетной системы. Новым законом перераспределены доходы от внесения указанной платы в пользу муниципальных образований. Теперь в федеральный бюджет будет поступать 5% от внесённых платежей, в областной бюджет – 40%, в местный бюджет – 55%.</w:t>
      </w:r>
    </w:p>
    <w:p w:rsidR="002E5A17" w:rsidRPr="002E5A17" w:rsidRDefault="002E5A17" w:rsidP="002E5A17">
      <w:pPr>
        <w:shd w:val="clear" w:color="auto" w:fill="FFFFFF"/>
        <w:spacing w:before="120" w:after="120" w:line="240" w:lineRule="auto"/>
        <w:ind w:right="-2"/>
        <w:jc w:val="both"/>
        <w:textAlignment w:val="top"/>
        <w:rPr>
          <w:rFonts w:ascii="Times New Roman" w:eastAsia="Times New Roman" w:hAnsi="Times New Roman" w:cs="Times New Roman"/>
          <w:color w:val="000000"/>
          <w:sz w:val="28"/>
          <w:szCs w:val="28"/>
          <w:lang w:eastAsia="ru-RU"/>
        </w:rPr>
      </w:pPr>
      <w:r w:rsidRPr="002E5A17">
        <w:rPr>
          <w:rFonts w:ascii="Times New Roman" w:eastAsia="Times New Roman" w:hAnsi="Times New Roman" w:cs="Times New Roman"/>
          <w:color w:val="000000"/>
          <w:sz w:val="28"/>
          <w:szCs w:val="28"/>
          <w:lang w:eastAsia="ru-RU"/>
        </w:rPr>
        <w:t>При этом следует учитывать, что внесение платы за негативное воздействие на окружающую среду не освобождает субъектов предпринимательской деятельности от осуществления мер по снижению негативного воздействия на окружающую среду, от обязанности по возмещению вреда, причинённого окружающей среде в результате осуществляемой ими деятельности, а также от ответственности за нарушение законодательства в области охраны окружающей среды.</w:t>
      </w:r>
    </w:p>
    <w:p w:rsidR="00F022E6" w:rsidRDefault="002E5A17" w:rsidP="002E5A17">
      <w:pPr>
        <w:shd w:val="clear" w:color="auto" w:fill="FFFFFF"/>
        <w:spacing w:before="120" w:after="120" w:line="240" w:lineRule="auto"/>
        <w:ind w:right="-2"/>
        <w:jc w:val="both"/>
        <w:textAlignment w:val="top"/>
        <w:rPr>
          <w:rFonts w:ascii="Times New Roman" w:eastAsia="Times New Roman" w:hAnsi="Times New Roman" w:cs="Times New Roman"/>
          <w:color w:val="000000"/>
          <w:sz w:val="28"/>
          <w:szCs w:val="28"/>
          <w:lang w:eastAsia="ru-RU"/>
        </w:rPr>
      </w:pPr>
      <w:r w:rsidRPr="002E5A17">
        <w:rPr>
          <w:rFonts w:ascii="Times New Roman" w:eastAsia="Times New Roman" w:hAnsi="Times New Roman" w:cs="Times New Roman"/>
          <w:color w:val="000000"/>
          <w:sz w:val="28"/>
          <w:szCs w:val="28"/>
          <w:lang w:eastAsia="ru-RU"/>
        </w:rPr>
        <w:t>За невнесение в установленные сроки платы за негативное воздействие на окружающую среду ст.8.41 КоАП РФ установлена административная ответственность в виде административного штрафа: на должностных лиц в размере от 3 000 до 6 000 рублей; на юридических лиц – от 50 000 до 100 000 рублей.</w:t>
      </w:r>
    </w:p>
    <w:p w:rsidR="004A1DB5" w:rsidRDefault="004A1DB5" w:rsidP="004A1DB5">
      <w:pPr>
        <w:spacing w:after="0" w:line="240" w:lineRule="exact"/>
        <w:ind w:right="-2"/>
        <w:jc w:val="both"/>
        <w:rPr>
          <w:rFonts w:ascii="Times New Roman" w:hAnsi="Times New Roman" w:cs="Times New Roman"/>
          <w:sz w:val="28"/>
          <w:szCs w:val="28"/>
        </w:rPr>
      </w:pPr>
    </w:p>
    <w:p w:rsidR="002E5A17" w:rsidRDefault="002E5A17" w:rsidP="004A1DB5">
      <w:pPr>
        <w:spacing w:after="0" w:line="240" w:lineRule="exact"/>
        <w:ind w:right="-2"/>
        <w:jc w:val="both"/>
        <w:rPr>
          <w:rFonts w:ascii="Times New Roman" w:hAnsi="Times New Roman" w:cs="Times New Roman"/>
          <w:sz w:val="28"/>
          <w:szCs w:val="28"/>
        </w:rPr>
      </w:pPr>
    </w:p>
    <w:p w:rsidR="004A1DB5" w:rsidRDefault="004A1DB5" w:rsidP="004A1DB5">
      <w:pPr>
        <w:spacing w:after="0" w:line="240" w:lineRule="exact"/>
        <w:ind w:right="-2"/>
        <w:jc w:val="both"/>
        <w:rPr>
          <w:rFonts w:ascii="Times New Roman" w:hAnsi="Times New Roman" w:cs="Times New Roman"/>
          <w:sz w:val="28"/>
          <w:szCs w:val="28"/>
        </w:rPr>
      </w:pPr>
      <w:r>
        <w:rPr>
          <w:rFonts w:ascii="Times New Roman" w:hAnsi="Times New Roman" w:cs="Times New Roman"/>
          <w:sz w:val="28"/>
          <w:szCs w:val="28"/>
        </w:rPr>
        <w:t xml:space="preserve">Старший помощник </w:t>
      </w:r>
    </w:p>
    <w:p w:rsidR="004A1DB5" w:rsidRDefault="004A1DB5" w:rsidP="004A1DB5">
      <w:pPr>
        <w:shd w:val="clear" w:color="auto" w:fill="FFFFFF"/>
        <w:spacing w:before="120" w:after="120" w:line="240" w:lineRule="auto"/>
        <w:ind w:right="-2"/>
        <w:jc w:val="both"/>
        <w:textAlignment w:val="top"/>
        <w:rPr>
          <w:rFonts w:ascii="Times New Roman" w:hAnsi="Times New Roman" w:cs="Times New Roman"/>
          <w:sz w:val="28"/>
          <w:szCs w:val="28"/>
        </w:rPr>
      </w:pPr>
      <w:r>
        <w:rPr>
          <w:rFonts w:ascii="Times New Roman" w:hAnsi="Times New Roman" w:cs="Times New Roman"/>
          <w:sz w:val="28"/>
          <w:szCs w:val="28"/>
        </w:rPr>
        <w:t>прокурора г. Стерлитамак                                                                   А.М. Лебедь</w:t>
      </w:r>
    </w:p>
    <w:p w:rsidR="00B622BF" w:rsidRDefault="00B622BF" w:rsidP="004A1DB5">
      <w:pPr>
        <w:shd w:val="clear" w:color="auto" w:fill="FFFFFF"/>
        <w:spacing w:before="120" w:after="120" w:line="240" w:lineRule="auto"/>
        <w:ind w:right="-2"/>
        <w:jc w:val="both"/>
        <w:textAlignment w:val="top"/>
        <w:rPr>
          <w:rFonts w:ascii="Times New Roman" w:hAnsi="Times New Roman" w:cs="Times New Roman"/>
          <w:sz w:val="28"/>
          <w:szCs w:val="28"/>
        </w:rPr>
      </w:pPr>
    </w:p>
    <w:p w:rsidR="00B622BF" w:rsidRDefault="00EA7C13" w:rsidP="004A1DB5">
      <w:pPr>
        <w:shd w:val="clear" w:color="auto" w:fill="FFFFFF"/>
        <w:spacing w:before="120" w:after="120" w:line="240" w:lineRule="auto"/>
        <w:ind w:right="-2"/>
        <w:jc w:val="both"/>
        <w:textAlignment w:val="top"/>
        <w:rPr>
          <w:rFonts w:ascii="Times New Roman" w:eastAsia="Times New Roman" w:hAnsi="Times New Roman" w:cs="Times New Roman"/>
          <w:color w:val="000000"/>
          <w:sz w:val="28"/>
          <w:szCs w:val="28"/>
          <w:lang w:eastAsia="ru-RU"/>
        </w:rPr>
      </w:pPr>
      <w:hyperlink r:id="rId5" w:history="1">
        <w:r w:rsidRPr="007628E2">
          <w:rPr>
            <w:rStyle w:val="a4"/>
            <w:rFonts w:ascii="Times New Roman" w:eastAsia="Times New Roman" w:hAnsi="Times New Roman" w:cs="Times New Roman"/>
            <w:sz w:val="28"/>
            <w:szCs w:val="28"/>
            <w:lang w:eastAsia="ru-RU"/>
          </w:rPr>
          <w:t>http://sterlitamak.procrb.ru/explanation/izmenilsya-poryadok-ischisleniya-i-vneseniya-platy-za-negativnoe-vozdeystvie-na-okruzhayushchuyu-sre.php?clear_cache=Y</w:t>
        </w:r>
      </w:hyperlink>
    </w:p>
    <w:p w:rsidR="00EA7C13" w:rsidRDefault="00EA7C13" w:rsidP="004A1DB5">
      <w:pPr>
        <w:shd w:val="clear" w:color="auto" w:fill="FFFFFF"/>
        <w:spacing w:before="120" w:after="120" w:line="240" w:lineRule="auto"/>
        <w:ind w:right="-2"/>
        <w:jc w:val="both"/>
        <w:textAlignment w:val="top"/>
        <w:rPr>
          <w:rFonts w:ascii="Times New Roman" w:eastAsia="Times New Roman" w:hAnsi="Times New Roman" w:cs="Times New Roman"/>
          <w:color w:val="000000"/>
          <w:sz w:val="28"/>
          <w:szCs w:val="28"/>
          <w:lang w:eastAsia="ru-RU"/>
        </w:rPr>
      </w:pPr>
      <w:bookmarkStart w:id="0" w:name="_GoBack"/>
      <w:bookmarkEnd w:id="0"/>
    </w:p>
    <w:p w:rsidR="004A1DB5" w:rsidRDefault="004A1DB5" w:rsidP="004A1DB5">
      <w:pPr>
        <w:shd w:val="clear" w:color="auto" w:fill="FFFFFF"/>
        <w:spacing w:before="120" w:after="120" w:line="240" w:lineRule="auto"/>
        <w:ind w:right="-2"/>
        <w:jc w:val="both"/>
        <w:textAlignment w:val="top"/>
        <w:rPr>
          <w:rFonts w:ascii="Times New Roman" w:eastAsia="Times New Roman" w:hAnsi="Times New Roman" w:cs="Times New Roman"/>
          <w:color w:val="000000"/>
          <w:sz w:val="28"/>
          <w:szCs w:val="28"/>
          <w:lang w:eastAsia="ru-RU"/>
        </w:rPr>
      </w:pPr>
    </w:p>
    <w:p w:rsidR="00D40731" w:rsidRPr="00B43DF4" w:rsidRDefault="00D40731" w:rsidP="00F022E6">
      <w:pPr>
        <w:jc w:val="both"/>
        <w:rPr>
          <w:rFonts w:ascii="Times New Roman" w:hAnsi="Times New Roman" w:cs="Times New Roman"/>
          <w:sz w:val="28"/>
          <w:szCs w:val="28"/>
        </w:rPr>
      </w:pPr>
    </w:p>
    <w:sectPr w:rsidR="00D40731" w:rsidRPr="00B43DF4" w:rsidSect="004A1DB5">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83B38"/>
    <w:multiLevelType w:val="multilevel"/>
    <w:tmpl w:val="4A4CC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CF13A8"/>
    <w:multiLevelType w:val="multilevel"/>
    <w:tmpl w:val="7A32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A32578"/>
    <w:multiLevelType w:val="multilevel"/>
    <w:tmpl w:val="440A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A7B"/>
    <w:rsid w:val="001A1146"/>
    <w:rsid w:val="002E5A17"/>
    <w:rsid w:val="003A097D"/>
    <w:rsid w:val="004A1DB5"/>
    <w:rsid w:val="00667A7B"/>
    <w:rsid w:val="006C2B0B"/>
    <w:rsid w:val="00B43DF4"/>
    <w:rsid w:val="00B622BF"/>
    <w:rsid w:val="00D40731"/>
    <w:rsid w:val="00EA7C13"/>
    <w:rsid w:val="00EC38F7"/>
    <w:rsid w:val="00F02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04A1C-B821-456E-828B-756E15A39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A09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097D"/>
    <w:rPr>
      <w:rFonts w:ascii="Times New Roman" w:eastAsia="Times New Roman" w:hAnsi="Times New Roman" w:cs="Times New Roman"/>
      <w:b/>
      <w:bCs/>
      <w:sz w:val="36"/>
      <w:szCs w:val="36"/>
      <w:lang w:eastAsia="ru-RU"/>
    </w:rPr>
  </w:style>
  <w:style w:type="character" w:customStyle="1" w:styleId="news-date-time">
    <w:name w:val="news-date-time"/>
    <w:basedOn w:val="a0"/>
    <w:rsid w:val="003A097D"/>
  </w:style>
  <w:style w:type="paragraph" w:styleId="a3">
    <w:name w:val="Normal (Web)"/>
    <w:basedOn w:val="a"/>
    <w:uiPriority w:val="99"/>
    <w:semiHidden/>
    <w:unhideWhenUsed/>
    <w:rsid w:val="003A09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A7C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045796">
      <w:bodyDiv w:val="1"/>
      <w:marLeft w:val="0"/>
      <w:marRight w:val="0"/>
      <w:marTop w:val="0"/>
      <w:marBottom w:val="0"/>
      <w:divBdr>
        <w:top w:val="none" w:sz="0" w:space="0" w:color="auto"/>
        <w:left w:val="none" w:sz="0" w:space="0" w:color="auto"/>
        <w:bottom w:val="none" w:sz="0" w:space="0" w:color="auto"/>
        <w:right w:val="none" w:sz="0" w:space="0" w:color="auto"/>
      </w:divBdr>
    </w:div>
    <w:div w:id="1421678893">
      <w:bodyDiv w:val="1"/>
      <w:marLeft w:val="0"/>
      <w:marRight w:val="0"/>
      <w:marTop w:val="0"/>
      <w:marBottom w:val="0"/>
      <w:divBdr>
        <w:top w:val="none" w:sz="0" w:space="0" w:color="auto"/>
        <w:left w:val="none" w:sz="0" w:space="0" w:color="auto"/>
        <w:bottom w:val="none" w:sz="0" w:space="0" w:color="auto"/>
        <w:right w:val="none" w:sz="0" w:space="0" w:color="auto"/>
      </w:divBdr>
    </w:div>
    <w:div w:id="169649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rlitamak.procrb.ru/explanation/izmenilsya-poryadok-ischisleniya-i-vneseniya-platy-za-negativnoe-vozdeystvie-na-okruzhayushchuyu-sre.php?clear_cache=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630</Words>
  <Characters>3596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Ведспец отдела по связям со СМИ</cp:lastModifiedBy>
  <cp:revision>11</cp:revision>
  <dcterms:created xsi:type="dcterms:W3CDTF">2016-02-03T12:24:00Z</dcterms:created>
  <dcterms:modified xsi:type="dcterms:W3CDTF">2016-02-16T07:37:00Z</dcterms:modified>
</cp:coreProperties>
</file>