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F4C" w:rsidRPr="001B5425" w:rsidRDefault="007146AD" w:rsidP="001B5425">
      <w:pPr>
        <w:spacing w:after="0" w:line="240" w:lineRule="auto"/>
        <w:ind w:right="-2" w:firstLine="709"/>
        <w:jc w:val="center"/>
        <w:rPr>
          <w:rFonts w:ascii="Times New Roman" w:eastAsia="Times New Roman" w:hAnsi="Times New Roman" w:cs="Times New Roman"/>
          <w:b/>
          <w:color w:val="000000"/>
          <w:sz w:val="28"/>
          <w:szCs w:val="28"/>
          <w:lang w:eastAsia="ru-RU"/>
        </w:rPr>
      </w:pPr>
      <w:r w:rsidRPr="001B5425">
        <w:rPr>
          <w:rFonts w:ascii="Times New Roman" w:eastAsia="Times New Roman" w:hAnsi="Times New Roman" w:cs="Times New Roman"/>
          <w:b/>
          <w:color w:val="000000"/>
          <w:sz w:val="28"/>
          <w:szCs w:val="28"/>
          <w:lang w:eastAsia="ru-RU"/>
        </w:rPr>
        <w:t>Виды ответственности</w:t>
      </w:r>
      <w:r w:rsidR="001D73FC" w:rsidRPr="001B5425">
        <w:rPr>
          <w:rFonts w:ascii="Times New Roman" w:eastAsia="Times New Roman" w:hAnsi="Times New Roman" w:cs="Times New Roman"/>
          <w:b/>
          <w:color w:val="000000"/>
          <w:sz w:val="28"/>
          <w:szCs w:val="28"/>
          <w:lang w:eastAsia="ru-RU"/>
        </w:rPr>
        <w:t xml:space="preserve"> за нарушение правил оборота гражданского оружия</w:t>
      </w:r>
    </w:p>
    <w:p w:rsidR="00720F4C" w:rsidRDefault="00720F4C" w:rsidP="00720F4C">
      <w:pPr>
        <w:tabs>
          <w:tab w:val="num" w:pos="0"/>
        </w:tabs>
        <w:spacing w:after="0" w:line="240" w:lineRule="auto"/>
        <w:ind w:right="-2" w:firstLine="709"/>
        <w:jc w:val="both"/>
        <w:rPr>
          <w:rFonts w:ascii="Times New Roman" w:eastAsia="Times New Roman" w:hAnsi="Times New Roman" w:cs="Times New Roman"/>
          <w:color w:val="000000"/>
          <w:sz w:val="28"/>
          <w:szCs w:val="28"/>
          <w:lang w:eastAsia="ru-RU"/>
        </w:rPr>
      </w:pPr>
    </w:p>
    <w:p w:rsidR="001D73FC" w:rsidRPr="001D73FC" w:rsidRDefault="001D73FC" w:rsidP="001D73FC">
      <w:pPr>
        <w:tabs>
          <w:tab w:val="num" w:pos="0"/>
        </w:tabs>
        <w:spacing w:after="0" w:line="240" w:lineRule="auto"/>
        <w:ind w:firstLine="709"/>
        <w:jc w:val="both"/>
        <w:rPr>
          <w:rFonts w:ascii="Times New Roman" w:eastAsia="Times New Roman" w:hAnsi="Times New Roman" w:cs="Times New Roman"/>
          <w:color w:val="000000"/>
          <w:sz w:val="28"/>
          <w:szCs w:val="28"/>
          <w:lang w:eastAsia="ru-RU"/>
        </w:rPr>
      </w:pPr>
      <w:r w:rsidRPr="001D73FC">
        <w:rPr>
          <w:rFonts w:ascii="Times New Roman" w:eastAsia="Times New Roman" w:hAnsi="Times New Roman" w:cs="Times New Roman"/>
          <w:color w:val="000000"/>
          <w:sz w:val="28"/>
          <w:szCs w:val="28"/>
          <w:lang w:eastAsia="ru-RU"/>
        </w:rPr>
        <w:t>За незаконный оборот оружия установлена административная и уголовная ответственность. При этом, в Постановлении Пленума Верховного Суда РФ от 12 марта 2002 г. №5 «О судебной практике по делам о хищении, вымогательстве и незаконном обороте оружия, боеприпасов, взрывчатых веществ и взрывных устройств» отмечается, что при рассмотрении дел о нарушениях правил оборота оружия и боеприпасов необходимо иметь в виду, что неправомерные действия лица могут содержать одновременно признаки состава как административного правонарушения, так и преступления, в связи с чем необходимо отграничивать виды ответственности владельцев оружия. При этом в случаях, когда допущенное лицом административное правонарушение (например, нарушение правил хранения или ношения оружия и боеприпасов, их продажи, несвоевременная регистрация и перерегистрация оружия и т.п.) содержит также признаки уголовно наказуемого деяния, указанное лицо может быть привлечено лишь к административной ответственности.</w:t>
      </w:r>
    </w:p>
    <w:p w:rsidR="001D73FC" w:rsidRPr="001D73FC" w:rsidRDefault="001D73FC" w:rsidP="001D73FC">
      <w:pPr>
        <w:tabs>
          <w:tab w:val="num" w:pos="0"/>
        </w:tabs>
        <w:spacing w:after="0" w:line="240" w:lineRule="auto"/>
        <w:ind w:firstLine="709"/>
        <w:jc w:val="both"/>
        <w:rPr>
          <w:rFonts w:ascii="Times New Roman" w:eastAsia="Times New Roman" w:hAnsi="Times New Roman" w:cs="Times New Roman"/>
          <w:color w:val="000000"/>
          <w:sz w:val="28"/>
          <w:szCs w:val="28"/>
          <w:lang w:eastAsia="ru-RU"/>
        </w:rPr>
      </w:pPr>
      <w:r w:rsidRPr="001D73FC">
        <w:rPr>
          <w:rFonts w:ascii="Times New Roman" w:eastAsia="Times New Roman" w:hAnsi="Times New Roman" w:cs="Times New Roman"/>
          <w:color w:val="000000"/>
          <w:sz w:val="28"/>
          <w:szCs w:val="28"/>
          <w:lang w:eastAsia="ru-RU"/>
        </w:rPr>
        <w:t xml:space="preserve">За нарушение правил оборота оружия установлена административная и уголовная ответственность. В Кодексе РФ об административных правонарушениях это ст.ст.14.1 «Осуществление предпринимательской деятельности без государственной регистрации или без специального разрешения (лицензии)», 14.2 «Незаконная продажа товаров (иных вещей), свободная реализация которых запрещена или ограничена», 14.3 «Нарушение законодательства о рекламе», 8.37 «Нарушение правил охоты, иных правил пользования объектами животного мира и правил добычи (вылова) водных биологических ресурсов и иных правил, регламентирующих осуществление промышленного рыболовства, прибрежного рыболовства и других видов рыболовства», 19.20 «Осуществление деятельности, не связанной с извлечением прибыли, без специального разрешения (лицензии)»,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20.9 «Установка на гражданском или служебном оружии приспособления для бесшумной стрельбы или прицела (прицельного комплекса) ночного видения», 20.10 «Незаконные изготовление, продажа или передача пневматического оружия», 20.11 «Нарушение сроков регистрации (перерегистрации) оружия или сроков постановки его на учет», 20.12 «Пересылка оружия, нарушение правил перевозки, транспортирования или использования оружия и патронов к нему», 20.13 «Стрельба из оружия в отведенных для этого местах с нарушением установленных правил или в не отведенных для этого местах», 20.14 «Нарушение </w:t>
      </w:r>
      <w:r w:rsidRPr="001D73FC">
        <w:rPr>
          <w:rFonts w:ascii="Times New Roman" w:eastAsia="Times New Roman" w:hAnsi="Times New Roman" w:cs="Times New Roman"/>
          <w:color w:val="000000"/>
          <w:sz w:val="28"/>
          <w:szCs w:val="28"/>
          <w:lang w:eastAsia="ru-RU"/>
        </w:rPr>
        <w:lastRenderedPageBreak/>
        <w:t>правил сертификации оружия и патронов к нему»,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8708E5" w:rsidRDefault="001D73FC" w:rsidP="001D73FC">
      <w:pPr>
        <w:tabs>
          <w:tab w:val="num" w:pos="0"/>
        </w:tabs>
        <w:spacing w:after="0" w:line="240" w:lineRule="auto"/>
        <w:ind w:firstLine="709"/>
        <w:jc w:val="both"/>
        <w:rPr>
          <w:rFonts w:ascii="Times New Roman" w:eastAsia="Times New Roman" w:hAnsi="Times New Roman" w:cs="Times New Roman"/>
          <w:color w:val="000000"/>
          <w:sz w:val="28"/>
          <w:szCs w:val="28"/>
          <w:lang w:eastAsia="ru-RU"/>
        </w:rPr>
      </w:pPr>
      <w:r w:rsidRPr="001D73FC">
        <w:rPr>
          <w:rFonts w:ascii="Times New Roman" w:eastAsia="Times New Roman" w:hAnsi="Times New Roman" w:cs="Times New Roman"/>
          <w:color w:val="000000"/>
          <w:sz w:val="28"/>
          <w:szCs w:val="28"/>
          <w:lang w:eastAsia="ru-RU"/>
        </w:rPr>
        <w:t>Уголовная ответственность в соответствии с Уголовным кодексом РФ наступает по ст.ст.222 «Незаконные приобретение, передача, сбыт, хранение, перевозка или ношение оружия, его основных частей, боеприпасов», 224 «Небрежное хранение огнестрельного оружия», 225 «Ненадлежащее исполнение обязанностей по охране оружия, боеприпасов, взрывчатых веществ и взрывных устройств», 226 «Хищение либо вымогательство оружия, боеприпасов, взрывчатых веществ и взрывных устройств».</w:t>
      </w:r>
    </w:p>
    <w:p w:rsidR="00720F4C" w:rsidRDefault="00720F4C" w:rsidP="00720F4C">
      <w:pPr>
        <w:tabs>
          <w:tab w:val="num" w:pos="0"/>
        </w:tabs>
        <w:spacing w:after="0" w:line="240" w:lineRule="auto"/>
        <w:ind w:right="-2" w:firstLine="709"/>
        <w:jc w:val="both"/>
        <w:rPr>
          <w:rFonts w:ascii="Times New Roman" w:hAnsi="Times New Roman" w:cs="Times New Roman"/>
          <w:sz w:val="28"/>
          <w:szCs w:val="28"/>
        </w:rPr>
      </w:pPr>
    </w:p>
    <w:p w:rsidR="008708E5" w:rsidRDefault="008708E5" w:rsidP="008708E5">
      <w:pPr>
        <w:tabs>
          <w:tab w:val="num" w:pos="0"/>
        </w:tabs>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П</w:t>
      </w:r>
      <w:r w:rsidR="004A1DB5">
        <w:rPr>
          <w:rFonts w:ascii="Times New Roman" w:hAnsi="Times New Roman" w:cs="Times New Roman"/>
          <w:sz w:val="28"/>
          <w:szCs w:val="28"/>
        </w:rPr>
        <w:t xml:space="preserve">омощник прокурора </w:t>
      </w:r>
    </w:p>
    <w:p w:rsidR="004A1DB5" w:rsidRDefault="004A1DB5" w:rsidP="008708E5">
      <w:pPr>
        <w:tabs>
          <w:tab w:val="num" w:pos="0"/>
        </w:tabs>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г. Стерлитамак                                                                  </w:t>
      </w:r>
      <w:r w:rsidR="00720F4C">
        <w:rPr>
          <w:rFonts w:ascii="Times New Roman" w:hAnsi="Times New Roman" w:cs="Times New Roman"/>
          <w:sz w:val="28"/>
          <w:szCs w:val="28"/>
        </w:rPr>
        <w:t xml:space="preserve">        </w:t>
      </w:r>
      <w:r>
        <w:rPr>
          <w:rFonts w:ascii="Times New Roman" w:hAnsi="Times New Roman" w:cs="Times New Roman"/>
          <w:sz w:val="28"/>
          <w:szCs w:val="28"/>
        </w:rPr>
        <w:t xml:space="preserve"> </w:t>
      </w:r>
      <w:r w:rsidR="008708E5">
        <w:rPr>
          <w:rFonts w:ascii="Times New Roman" w:hAnsi="Times New Roman" w:cs="Times New Roman"/>
          <w:sz w:val="28"/>
          <w:szCs w:val="28"/>
        </w:rPr>
        <w:t xml:space="preserve">                   </w:t>
      </w:r>
      <w:r>
        <w:rPr>
          <w:rFonts w:ascii="Times New Roman" w:hAnsi="Times New Roman" w:cs="Times New Roman"/>
          <w:sz w:val="28"/>
          <w:szCs w:val="28"/>
        </w:rPr>
        <w:t>А.М. Лебедь</w:t>
      </w:r>
    </w:p>
    <w:p w:rsidR="001B5425" w:rsidRDefault="001B5425" w:rsidP="00720F4C">
      <w:pPr>
        <w:tabs>
          <w:tab w:val="num" w:pos="0"/>
        </w:tabs>
        <w:spacing w:after="0" w:line="240" w:lineRule="auto"/>
        <w:ind w:firstLine="709"/>
        <w:jc w:val="both"/>
        <w:rPr>
          <w:rFonts w:ascii="Times New Roman" w:hAnsi="Times New Roman" w:cs="Times New Roman"/>
          <w:sz w:val="28"/>
          <w:szCs w:val="28"/>
        </w:rPr>
      </w:pPr>
    </w:p>
    <w:bookmarkStart w:id="0" w:name="_GoBack"/>
    <w:bookmarkEnd w:id="0"/>
    <w:p w:rsidR="00D40731" w:rsidRDefault="001B5425" w:rsidP="00720F4C">
      <w:pPr>
        <w:tabs>
          <w:tab w:val="num"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w:instrText>
      </w:r>
      <w:r w:rsidRPr="007146AD">
        <w:rPr>
          <w:rFonts w:ascii="Times New Roman" w:hAnsi="Times New Roman" w:cs="Times New Roman"/>
          <w:sz w:val="28"/>
          <w:szCs w:val="28"/>
        </w:rPr>
        <w:instrText>http://sterlitamak.procrb.ru/explanation/vidy-otvetstvennosti-za-narushenie-pravil-oborota-grazhdanskogo-oruzhiya.php?clear_cache=Y</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sidRPr="00C720CF">
        <w:rPr>
          <w:rStyle w:val="a4"/>
          <w:rFonts w:ascii="Times New Roman" w:hAnsi="Times New Roman" w:cs="Times New Roman"/>
          <w:sz w:val="28"/>
          <w:szCs w:val="28"/>
        </w:rPr>
        <w:t>http://sterlitamak.procrb.ru/explanation/vidy-otvetstvennosti-za-narushenie-pravil-oborota-grazhdanskogo-oruzhiya.php?clear_cache=Y</w:t>
      </w:r>
      <w:r>
        <w:rPr>
          <w:rFonts w:ascii="Times New Roman" w:hAnsi="Times New Roman" w:cs="Times New Roman"/>
          <w:sz w:val="28"/>
          <w:szCs w:val="28"/>
        </w:rPr>
        <w:fldChar w:fldCharType="end"/>
      </w:r>
    </w:p>
    <w:p w:rsidR="001B5425" w:rsidRPr="00B43DF4" w:rsidRDefault="001B5425" w:rsidP="00720F4C">
      <w:pPr>
        <w:tabs>
          <w:tab w:val="num" w:pos="0"/>
        </w:tabs>
        <w:spacing w:after="0" w:line="240" w:lineRule="auto"/>
        <w:ind w:firstLine="709"/>
        <w:jc w:val="both"/>
        <w:rPr>
          <w:rFonts w:ascii="Times New Roman" w:hAnsi="Times New Roman" w:cs="Times New Roman"/>
          <w:sz w:val="28"/>
          <w:szCs w:val="28"/>
        </w:rPr>
      </w:pPr>
    </w:p>
    <w:sectPr w:rsidR="001B5425" w:rsidRPr="00B43DF4" w:rsidSect="004A1DB5">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683B38"/>
    <w:multiLevelType w:val="multilevel"/>
    <w:tmpl w:val="4A4CC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CF13A8"/>
    <w:multiLevelType w:val="multilevel"/>
    <w:tmpl w:val="7A32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A32578"/>
    <w:multiLevelType w:val="multilevel"/>
    <w:tmpl w:val="440A8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F32ABA"/>
    <w:multiLevelType w:val="multilevel"/>
    <w:tmpl w:val="DE807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8F66A0"/>
    <w:multiLevelType w:val="multilevel"/>
    <w:tmpl w:val="CD3CF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A7B"/>
    <w:rsid w:val="001A1146"/>
    <w:rsid w:val="001B5425"/>
    <w:rsid w:val="001D73FC"/>
    <w:rsid w:val="002E5A17"/>
    <w:rsid w:val="00320F59"/>
    <w:rsid w:val="003A097D"/>
    <w:rsid w:val="004761AF"/>
    <w:rsid w:val="004A1DB5"/>
    <w:rsid w:val="00667A7B"/>
    <w:rsid w:val="006C2B0B"/>
    <w:rsid w:val="007146AD"/>
    <w:rsid w:val="00720F4C"/>
    <w:rsid w:val="00735E6F"/>
    <w:rsid w:val="007D03B1"/>
    <w:rsid w:val="008708E5"/>
    <w:rsid w:val="00AD767E"/>
    <w:rsid w:val="00B43DF4"/>
    <w:rsid w:val="00B45FF6"/>
    <w:rsid w:val="00B622BF"/>
    <w:rsid w:val="00B93789"/>
    <w:rsid w:val="00BB175E"/>
    <w:rsid w:val="00BF511E"/>
    <w:rsid w:val="00C70249"/>
    <w:rsid w:val="00D40731"/>
    <w:rsid w:val="00D679F5"/>
    <w:rsid w:val="00D724AF"/>
    <w:rsid w:val="00DF5558"/>
    <w:rsid w:val="00EC38F7"/>
    <w:rsid w:val="00F02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AF0794-7F8D-4D37-AEA0-7877B8020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A097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A097D"/>
    <w:rPr>
      <w:rFonts w:ascii="Times New Roman" w:eastAsia="Times New Roman" w:hAnsi="Times New Roman" w:cs="Times New Roman"/>
      <w:b/>
      <w:bCs/>
      <w:sz w:val="36"/>
      <w:szCs w:val="36"/>
      <w:lang w:eastAsia="ru-RU"/>
    </w:rPr>
  </w:style>
  <w:style w:type="character" w:customStyle="1" w:styleId="news-date-time">
    <w:name w:val="news-date-time"/>
    <w:basedOn w:val="a0"/>
    <w:rsid w:val="003A097D"/>
  </w:style>
  <w:style w:type="paragraph" w:styleId="a3">
    <w:name w:val="Normal (Web)"/>
    <w:basedOn w:val="a"/>
    <w:uiPriority w:val="99"/>
    <w:semiHidden/>
    <w:unhideWhenUsed/>
    <w:rsid w:val="003A09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B54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045796">
      <w:bodyDiv w:val="1"/>
      <w:marLeft w:val="0"/>
      <w:marRight w:val="0"/>
      <w:marTop w:val="0"/>
      <w:marBottom w:val="0"/>
      <w:divBdr>
        <w:top w:val="none" w:sz="0" w:space="0" w:color="auto"/>
        <w:left w:val="none" w:sz="0" w:space="0" w:color="auto"/>
        <w:bottom w:val="none" w:sz="0" w:space="0" w:color="auto"/>
        <w:right w:val="none" w:sz="0" w:space="0" w:color="auto"/>
      </w:divBdr>
    </w:div>
    <w:div w:id="1421678893">
      <w:bodyDiv w:val="1"/>
      <w:marLeft w:val="0"/>
      <w:marRight w:val="0"/>
      <w:marTop w:val="0"/>
      <w:marBottom w:val="0"/>
      <w:divBdr>
        <w:top w:val="none" w:sz="0" w:space="0" w:color="auto"/>
        <w:left w:val="none" w:sz="0" w:space="0" w:color="auto"/>
        <w:bottom w:val="none" w:sz="0" w:space="0" w:color="auto"/>
        <w:right w:val="none" w:sz="0" w:space="0" w:color="auto"/>
      </w:divBdr>
    </w:div>
    <w:div w:id="1554464123">
      <w:bodyDiv w:val="1"/>
      <w:marLeft w:val="0"/>
      <w:marRight w:val="0"/>
      <w:marTop w:val="0"/>
      <w:marBottom w:val="0"/>
      <w:divBdr>
        <w:top w:val="none" w:sz="0" w:space="0" w:color="auto"/>
        <w:left w:val="none" w:sz="0" w:space="0" w:color="auto"/>
        <w:bottom w:val="none" w:sz="0" w:space="0" w:color="auto"/>
        <w:right w:val="none" w:sz="0" w:space="0" w:color="auto"/>
      </w:divBdr>
    </w:div>
    <w:div w:id="1696494172">
      <w:bodyDiv w:val="1"/>
      <w:marLeft w:val="0"/>
      <w:marRight w:val="0"/>
      <w:marTop w:val="0"/>
      <w:marBottom w:val="0"/>
      <w:divBdr>
        <w:top w:val="none" w:sz="0" w:space="0" w:color="auto"/>
        <w:left w:val="none" w:sz="0" w:space="0" w:color="auto"/>
        <w:bottom w:val="none" w:sz="0" w:space="0" w:color="auto"/>
        <w:right w:val="none" w:sz="0" w:space="0" w:color="auto"/>
      </w:divBdr>
    </w:div>
    <w:div w:id="202994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1</Pages>
  <Words>619</Words>
  <Characters>3534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Ведспец отдела по связям со СМИ</cp:lastModifiedBy>
  <cp:revision>31</cp:revision>
  <dcterms:created xsi:type="dcterms:W3CDTF">2016-02-03T12:24:00Z</dcterms:created>
  <dcterms:modified xsi:type="dcterms:W3CDTF">2016-06-28T04:38:00Z</dcterms:modified>
</cp:coreProperties>
</file>