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10" w:rsidRPr="00DE4410" w:rsidRDefault="00DE4410" w:rsidP="00DE4410">
      <w:pPr>
        <w:shd w:val="clear" w:color="auto" w:fill="FFFFFF"/>
        <w:spacing w:after="600" w:line="240" w:lineRule="auto"/>
        <w:outlineLvl w:val="0"/>
        <w:rPr>
          <w:rFonts w:ascii="SegoeUISemiBold" w:hAnsi="SegoeUISemiBold"/>
          <w:color w:val="auto"/>
          <w:spacing w:val="0"/>
          <w:kern w:val="36"/>
          <w:sz w:val="36"/>
          <w:szCs w:val="36"/>
        </w:rPr>
      </w:pPr>
      <w:r w:rsidRPr="00DE4410">
        <w:rPr>
          <w:rFonts w:ascii="SegoeUISemiBold" w:hAnsi="SegoeUISemiBold"/>
          <w:color w:val="auto"/>
          <w:spacing w:val="0"/>
          <w:kern w:val="36"/>
          <w:sz w:val="36"/>
          <w:szCs w:val="36"/>
        </w:rPr>
        <w:t>Материальная ответственность работника: кто привлекается и как?</w:t>
      </w:r>
    </w:p>
    <w:p w:rsidR="00DE4410" w:rsidRPr="00DE4410" w:rsidRDefault="00DE4410" w:rsidP="00DE4410">
      <w:pPr>
        <w:shd w:val="clear" w:color="auto" w:fill="FFFFFF"/>
        <w:spacing w:after="0" w:line="240" w:lineRule="auto"/>
        <w:jc w:val="both"/>
        <w:rPr>
          <w:rFonts w:ascii="SegoeUIRegular" w:hAnsi="SegoeUIRegular"/>
          <w:color w:val="auto"/>
          <w:spacing w:val="0"/>
          <w:sz w:val="24"/>
          <w:szCs w:val="24"/>
        </w:rPr>
      </w:pPr>
      <w:r w:rsidRPr="00DE4410">
        <w:rPr>
          <w:rFonts w:ascii="SegoeUIRegular" w:hAnsi="SegoeUIRegular"/>
          <w:bCs/>
          <w:color w:val="auto"/>
          <w:spacing w:val="0"/>
          <w:sz w:val="24"/>
          <w:szCs w:val="24"/>
        </w:rPr>
        <w:t>Н</w:t>
      </w:r>
      <w:r w:rsidRPr="00DE4410">
        <w:rPr>
          <w:rFonts w:ascii="SegoeUIRegular" w:hAnsi="SegoeUIRegular"/>
          <w:color w:val="auto"/>
          <w:spacing w:val="0"/>
          <w:sz w:val="24"/>
          <w:szCs w:val="24"/>
        </w:rPr>
        <w:t>е с каждым работником можно заключить договор о полной материальной ответственности. Его можно оформить только с</w:t>
      </w:r>
      <w:bookmarkStart w:id="0" w:name="_GoBack"/>
      <w:bookmarkEnd w:id="0"/>
      <w:r w:rsidRPr="00DE4410">
        <w:rPr>
          <w:rFonts w:ascii="SegoeUIRegular" w:hAnsi="SegoeUIRegular"/>
          <w:color w:val="auto"/>
          <w:spacing w:val="0"/>
          <w:sz w:val="24"/>
          <w:szCs w:val="24"/>
        </w:rPr>
        <w:t xml:space="preserve"> сотрудниками, достигшими возраста 18 лет и непосредственно обслуживающими или использующими денежные, товарные ценности или иное имущество. То есть это кассиры, курьеры, продавцы, кладовщики – есть утверждённый Минтрудом перечень должностей и работ,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В этом списке, например, нет водителей, при этом практика показывает, что работодатели предпочитают об этом «забыть», пользуются тем, что не все знают о наличии перечня, утверждённого Постановлением Минтруда России № 58 от 31 декабря 2002 года.</w:t>
      </w:r>
    </w:p>
    <w:p w:rsidR="00DE4410" w:rsidRPr="00DE4410" w:rsidRDefault="00DE4410" w:rsidP="00DE4410">
      <w:pPr>
        <w:shd w:val="clear" w:color="auto" w:fill="FFFFFF"/>
        <w:spacing w:after="0" w:line="240" w:lineRule="auto"/>
        <w:jc w:val="both"/>
        <w:rPr>
          <w:rFonts w:ascii="SegoeUIRegular" w:hAnsi="SegoeUIRegular"/>
          <w:color w:val="auto"/>
          <w:spacing w:val="0"/>
          <w:sz w:val="24"/>
          <w:szCs w:val="24"/>
        </w:rPr>
      </w:pPr>
      <w:r w:rsidRPr="00DE4410">
        <w:rPr>
          <w:rFonts w:ascii="SegoeUIRegular" w:hAnsi="SegoeUIRegular"/>
          <w:color w:val="auto"/>
          <w:spacing w:val="0"/>
          <w:sz w:val="24"/>
          <w:szCs w:val="24"/>
        </w:rPr>
        <w:t xml:space="preserve">Важно также знать, что работник несёт ответственность за недостачу вверенного ему имущества, то есть принятого им на основании документа (акта приёма-передачи). В случае обнаружения недостачи работодатель должен истребовать от работника письменное объяснение. Это нужно сделать обязательно, как и в случае с дисциплинарным взысканием. Об этом чётко сказано в ст. 247 ТК РФ. Факт отказа или уклонения работника </w:t>
      </w:r>
      <w:proofErr w:type="gramStart"/>
      <w:r w:rsidRPr="00DE4410">
        <w:rPr>
          <w:rFonts w:ascii="SegoeUIRegular" w:hAnsi="SegoeUIRegular"/>
          <w:color w:val="auto"/>
          <w:spacing w:val="0"/>
          <w:sz w:val="24"/>
          <w:szCs w:val="24"/>
        </w:rPr>
        <w:t>от</w:t>
      </w:r>
      <w:proofErr w:type="gramEnd"/>
      <w:r w:rsidRPr="00DE4410">
        <w:rPr>
          <w:rFonts w:ascii="SegoeUIRegular" w:hAnsi="SegoeUIRegular"/>
          <w:color w:val="auto"/>
          <w:spacing w:val="0"/>
          <w:sz w:val="24"/>
          <w:szCs w:val="24"/>
        </w:rPr>
        <w:t xml:space="preserve"> объяснительной должен быть отражён в соответствующем акте. Результаты проверки подлежат документальному оформлению: недостача ценностей фиксируется актом инвентаризации, их порча - дефектной ведомостью.</w:t>
      </w:r>
    </w:p>
    <w:p w:rsidR="00DE4410" w:rsidRPr="00DE4410" w:rsidRDefault="00DE4410" w:rsidP="00DE4410">
      <w:pPr>
        <w:shd w:val="clear" w:color="auto" w:fill="FFFFFF"/>
        <w:spacing w:after="0" w:line="240" w:lineRule="auto"/>
        <w:jc w:val="both"/>
        <w:rPr>
          <w:rFonts w:ascii="SegoeUIRegular" w:hAnsi="SegoeUIRegular"/>
          <w:color w:val="auto"/>
          <w:spacing w:val="0"/>
          <w:sz w:val="24"/>
          <w:szCs w:val="24"/>
        </w:rPr>
      </w:pPr>
      <w:r w:rsidRPr="00DE4410">
        <w:rPr>
          <w:rFonts w:ascii="SegoeUIRegular" w:hAnsi="SegoeUIRegular"/>
          <w:color w:val="auto"/>
          <w:spacing w:val="0"/>
          <w:sz w:val="24"/>
          <w:szCs w:val="24"/>
        </w:rPr>
        <w:t xml:space="preserve">Помимо </w:t>
      </w:r>
      <w:proofErr w:type="gramStart"/>
      <w:r w:rsidRPr="00DE4410">
        <w:rPr>
          <w:rFonts w:ascii="SegoeUIRegular" w:hAnsi="SegoeUIRegular"/>
          <w:color w:val="auto"/>
          <w:spacing w:val="0"/>
          <w:sz w:val="24"/>
          <w:szCs w:val="24"/>
        </w:rPr>
        <w:t>индивидуальной</w:t>
      </w:r>
      <w:proofErr w:type="gramEnd"/>
      <w:r w:rsidRPr="00DE4410">
        <w:rPr>
          <w:rFonts w:ascii="SegoeUIRegular" w:hAnsi="SegoeUIRegular"/>
          <w:color w:val="auto"/>
          <w:spacing w:val="0"/>
          <w:sz w:val="24"/>
          <w:szCs w:val="24"/>
        </w:rPr>
        <w:t xml:space="preserve"> существует также коллективная (бригадная) ответственность. Она может вводиться при совместном выполнении сотрудниками отдельных видов работ, когда невозможно разграничить материальную ответственность каждого члена бригады и заключить с ним индивидуальный договор о возмещении ущерба в полном размере. Как и в случае с индивидуальной ответственностью, действует перечень работ, при выполнении которых может вводиться ответственность коллективная. Он утверждён тем же 58-м Постановлением Минтруда России.</w:t>
      </w:r>
    </w:p>
    <w:p w:rsidR="00DE4410" w:rsidRPr="00DE4410" w:rsidRDefault="00DE4410" w:rsidP="00DE4410">
      <w:pPr>
        <w:shd w:val="clear" w:color="auto" w:fill="FFFFFF"/>
        <w:spacing w:after="0" w:line="240" w:lineRule="auto"/>
        <w:jc w:val="both"/>
        <w:rPr>
          <w:rFonts w:ascii="SegoeUIRegular" w:hAnsi="SegoeUIRegular"/>
          <w:color w:val="auto"/>
          <w:spacing w:val="0"/>
          <w:sz w:val="24"/>
          <w:szCs w:val="24"/>
        </w:rPr>
      </w:pPr>
      <w:r w:rsidRPr="00DE4410">
        <w:rPr>
          <w:rFonts w:ascii="SegoeUIRegular" w:hAnsi="SegoeUIRegular"/>
          <w:color w:val="auto"/>
          <w:spacing w:val="0"/>
          <w:sz w:val="24"/>
          <w:szCs w:val="24"/>
        </w:rPr>
        <w:t>Порядок взыскания ущерба с работника регламентирован ст. 248 ТК РФ. Взыскание с виновного работника суммы причинённого ущерба, не превышающей среднего месячного заработка, производится по распоряжению работодателя. Но здесь есть важный момент. Приказ может быть издан не позднее одного месяца со дня установления размера недостачи или другого ущерба. Если этот срок истёк или работник не согласен добровольно возместить его, истребовать эту сумму можно только в судебном порядке. Когда ущерб превышает средний месячный заработок сотрудника, взыскание производится только в судебном порядке.</w:t>
      </w:r>
    </w:p>
    <w:p w:rsidR="003D0205" w:rsidRPr="00DE4410" w:rsidRDefault="003D0205" w:rsidP="00DE4410">
      <w:pPr>
        <w:spacing w:after="0"/>
        <w:jc w:val="both"/>
        <w:rPr>
          <w:color w:val="auto"/>
        </w:rPr>
      </w:pPr>
    </w:p>
    <w:sectPr w:rsidR="003D0205" w:rsidRPr="00DE4410" w:rsidSect="00A71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UISemiBold">
    <w:altName w:val="Times New Roman"/>
    <w:panose1 w:val="00000000000000000000"/>
    <w:charset w:val="00"/>
    <w:family w:val="roman"/>
    <w:notTrueType/>
    <w:pitch w:val="default"/>
    <w:sig w:usb0="00000000" w:usb1="00000000" w:usb2="00000000" w:usb3="00000000" w:csb0="00000000" w:csb1="00000000"/>
  </w:font>
  <w:font w:name="SegoeUI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560"/>
    <w:rsid w:val="003D0205"/>
    <w:rsid w:val="003F14F0"/>
    <w:rsid w:val="00867560"/>
    <w:rsid w:val="00A719E5"/>
    <w:rsid w:val="00DE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pacing w:val="-13"/>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E5"/>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41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pacing w:val="-13"/>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41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9857785">
      <w:bodyDiv w:val="1"/>
      <w:marLeft w:val="0"/>
      <w:marRight w:val="0"/>
      <w:marTop w:val="0"/>
      <w:marBottom w:val="0"/>
      <w:divBdr>
        <w:top w:val="none" w:sz="0" w:space="0" w:color="auto"/>
        <w:left w:val="none" w:sz="0" w:space="0" w:color="auto"/>
        <w:bottom w:val="none" w:sz="0" w:space="0" w:color="auto"/>
        <w:right w:val="none" w:sz="0" w:space="0" w:color="auto"/>
      </w:divBdr>
      <w:divsChild>
        <w:div w:id="1398892113">
          <w:marLeft w:val="0"/>
          <w:marRight w:val="0"/>
          <w:marTop w:val="0"/>
          <w:marBottom w:val="0"/>
          <w:divBdr>
            <w:top w:val="none" w:sz="0" w:space="0" w:color="auto"/>
            <w:left w:val="none" w:sz="0" w:space="0" w:color="auto"/>
            <w:bottom w:val="none" w:sz="0" w:space="0" w:color="auto"/>
            <w:right w:val="none" w:sz="0" w:space="0" w:color="auto"/>
          </w:divBdr>
          <w:divsChild>
            <w:div w:id="2007895841">
              <w:marLeft w:val="0"/>
              <w:marRight w:val="0"/>
              <w:marTop w:val="0"/>
              <w:marBottom w:val="450"/>
              <w:divBdr>
                <w:top w:val="none" w:sz="0" w:space="0" w:color="auto"/>
                <w:left w:val="none" w:sz="0" w:space="0" w:color="auto"/>
                <w:bottom w:val="none" w:sz="0" w:space="0" w:color="auto"/>
                <w:right w:val="none" w:sz="0" w:space="0" w:color="auto"/>
              </w:divBdr>
            </w:div>
            <w:div w:id="17285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Материальная ответственность работника: кто привлекается и как?</vt:lpstr>
    </vt:vector>
  </TitlesOfParts>
  <Company>Reanimator Extreme Edition</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Trud1</cp:lastModifiedBy>
  <cp:revision>2</cp:revision>
  <cp:lastPrinted>2022-05-31T03:57:00Z</cp:lastPrinted>
  <dcterms:created xsi:type="dcterms:W3CDTF">2022-06-03T05:27:00Z</dcterms:created>
  <dcterms:modified xsi:type="dcterms:W3CDTF">2022-06-03T05:27:00Z</dcterms:modified>
</cp:coreProperties>
</file>